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95D" w:rsidRPr="00FA795D" w:rsidRDefault="00FA795D" w:rsidP="00FA795D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>У</w:t>
      </w:r>
      <w:r w:rsidRPr="00FA795D"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>важаемые Клиенты,</w:t>
      </w:r>
    </w:p>
    <w:p w:rsidR="00D52F50" w:rsidRDefault="00D52F50" w:rsidP="00FA795D">
      <w:pPr>
        <w:spacing w:before="120" w:after="120" w:line="240" w:lineRule="auto"/>
        <w:jc w:val="both"/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</w:pPr>
    </w:p>
    <w:p w:rsidR="00FA795D" w:rsidRPr="00FA795D" w:rsidRDefault="001E4913" w:rsidP="00FA795D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>На С</w:t>
      </w:r>
      <w:r w:rsidR="00FA795D"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>айте опубликованы новые редакции документов:</w:t>
      </w:r>
    </w:p>
    <w:p w:rsidR="00FA795D" w:rsidRPr="00FA795D" w:rsidRDefault="00FA795D" w:rsidP="00D52F50">
      <w:pPr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95D"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>Условия осуществления депозитарной деятельности ООО «СПЭК ИНВЕСТМЕНТ» (Клиентский регламент). Далее – «Депозитарный регламент».</w:t>
      </w:r>
    </w:p>
    <w:p w:rsidR="00FA795D" w:rsidRPr="00FA795D" w:rsidRDefault="00FA795D" w:rsidP="00FA795D">
      <w:pPr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95D"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>Регламент оказания услуг на финансовых рынках ООО «СПЭК ИНВЕСТМЕНТ». Далее – «Брокерский регламент».</w:t>
      </w:r>
    </w:p>
    <w:p w:rsidR="00FA795D" w:rsidRPr="00FA795D" w:rsidRDefault="00FA795D" w:rsidP="00FA795D">
      <w:pPr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>Перечень документов</w:t>
      </w:r>
      <w:r w:rsidRPr="00FA795D"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>.</w:t>
      </w:r>
    </w:p>
    <w:p w:rsidR="00FA795D" w:rsidRPr="00FA795D" w:rsidRDefault="00FA795D" w:rsidP="00D52F50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95D"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 xml:space="preserve">Указанные документы вступают в силу с </w:t>
      </w:r>
      <w:r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>12.12</w:t>
      </w:r>
      <w:r w:rsidRPr="00FA795D"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>.2024.</w:t>
      </w:r>
    </w:p>
    <w:p w:rsidR="00FA795D" w:rsidRPr="00FA795D" w:rsidRDefault="00FA795D" w:rsidP="00FA795D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95D"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> </w:t>
      </w:r>
    </w:p>
    <w:p w:rsidR="00FA795D" w:rsidRPr="00FA795D" w:rsidRDefault="00FA795D" w:rsidP="00FA795D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95D"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>Описание изменений в Депозитарный регламент:</w:t>
      </w:r>
    </w:p>
    <w:p w:rsidR="00FA795D" w:rsidRPr="00FA795D" w:rsidRDefault="00FA795D" w:rsidP="00B81E8D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95D"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>1</w:t>
      </w:r>
      <w:r w:rsidR="00B81E8D"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 xml:space="preserve">   </w:t>
      </w:r>
      <w:r w:rsidR="006108B4"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 xml:space="preserve">      </w:t>
      </w:r>
      <w:r w:rsidR="00B81E8D"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>Добавлена возможность обмениваться Сообщениями с использов</w:t>
      </w:r>
      <w:r w:rsidR="006108B4"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 xml:space="preserve">анием Личного кабинета Компании, являющегося составной частью </w:t>
      </w:r>
      <w:r w:rsidR="00B81E8D" w:rsidRPr="00B81E8D"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>корпоративн</w:t>
      </w:r>
      <w:r w:rsidR="006108B4"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>ой системы</w:t>
      </w:r>
      <w:r w:rsidR="00B81E8D" w:rsidRPr="00B81E8D"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 xml:space="preserve"> электронного документооборота, правообладателем которой является Компания, представляющ</w:t>
      </w:r>
      <w:r w:rsidR="006108B4"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>ей</w:t>
      </w:r>
      <w:r w:rsidR="00B81E8D" w:rsidRPr="00B81E8D"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 xml:space="preserve"> собой программно-аппаратный комплекс, включая Личный кабинет, доступ к которому осуществляется по информационно-телекоммуникационным сетям, и функционирующая в соответствии с положениями Регламента об электронном документообороте ООО «СПЭК ИНВЕСТМЕНТ».</w:t>
      </w:r>
    </w:p>
    <w:p w:rsidR="006108B4" w:rsidRDefault="006108B4" w:rsidP="006108B4">
      <w:pPr>
        <w:spacing w:before="120" w:after="120" w:line="240" w:lineRule="auto"/>
        <w:jc w:val="both"/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</w:pPr>
      <w:r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 xml:space="preserve">2  </w:t>
      </w:r>
      <w:r w:rsidRPr="006108B4"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 xml:space="preserve">         Утонены положения об использовании типовых форм и бланков Компании в отношениях с Клиентами по Договору.</w:t>
      </w:r>
    </w:p>
    <w:p w:rsidR="006108B4" w:rsidRPr="006108B4" w:rsidRDefault="006108B4" w:rsidP="006108B4">
      <w:pPr>
        <w:spacing w:before="120" w:after="120" w:line="240" w:lineRule="auto"/>
        <w:jc w:val="both"/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</w:pPr>
      <w:r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 xml:space="preserve">3          </w:t>
      </w:r>
      <w:r w:rsidRPr="006108B4"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>Уточнены положения о моменте доставки Сообщения Клиента в адрес Компании по электронной почте: Сообщение считается также доставленным Клиенту, если получено уведомление почтовой программы о невозможности доставить электронное письмо на Электронную почту Клиента.</w:t>
      </w:r>
    </w:p>
    <w:p w:rsidR="006108B4" w:rsidRPr="00BE64A7" w:rsidRDefault="006108B4" w:rsidP="00A667C5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0" w:firstLine="0"/>
        <w:jc w:val="both"/>
        <w:rPr>
          <w:rFonts w:ascii="Bahnschrift Light" w:eastAsia="Times New Roman" w:hAnsi="Bahnschrift Light" w:cs="Tahoma"/>
          <w:snapToGrid w:val="0"/>
          <w:sz w:val="20"/>
          <w:szCs w:val="20"/>
          <w:lang w:eastAsia="ru-RU"/>
        </w:rPr>
      </w:pPr>
      <w:r w:rsidRPr="00A667C5"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>Уточнено, что и</w:t>
      </w:r>
      <w:r w:rsidRPr="00A667C5">
        <w:rPr>
          <w:rFonts w:ascii="Bahnschrift Light" w:eastAsia="Times New Roman" w:hAnsi="Bahnschrift Light" w:cs="Tahoma"/>
          <w:snapToGrid w:val="0"/>
          <w:sz w:val="20"/>
          <w:szCs w:val="20"/>
          <w:lang w:eastAsia="ru-RU"/>
        </w:rPr>
        <w:t xml:space="preserve">нформация о поступивших на специальный депозитарный Счет Депозитария доходах в денежной форме по ценным бумагам Депонентов, доводятся Депозитарием до сведения Депонента путем рассылки </w:t>
      </w:r>
      <w:r w:rsidRPr="00BE64A7">
        <w:rPr>
          <w:rFonts w:ascii="Bahnschrift Light" w:eastAsia="Times New Roman" w:hAnsi="Bahnschrift Light" w:cs="Tahoma"/>
          <w:snapToGrid w:val="0"/>
          <w:sz w:val="20"/>
          <w:szCs w:val="20"/>
          <w:lang w:eastAsia="ru-RU"/>
        </w:rPr>
        <w:t xml:space="preserve">Сообщений (по форме Приложения № 7 к Общим условиям) на Электронную почту Депонента либо путем размещения на Сайте (по усмотрению Компании), при этом Депозитарий вправе пользоваться иными способами, предусмотренными Общими условиями. Также установлено Приложение № 7 </w:t>
      </w:r>
      <w:r w:rsidR="00D52F50" w:rsidRPr="00BE64A7">
        <w:rPr>
          <w:rFonts w:ascii="Bahnschrift Light" w:eastAsia="Times New Roman" w:hAnsi="Bahnschrift Light" w:cs="Tahoma"/>
          <w:snapToGrid w:val="0"/>
          <w:sz w:val="20"/>
          <w:szCs w:val="20"/>
          <w:lang w:eastAsia="ru-RU"/>
        </w:rPr>
        <w:t xml:space="preserve">к </w:t>
      </w:r>
      <w:r w:rsidRPr="00BE64A7">
        <w:rPr>
          <w:rFonts w:ascii="Bahnschrift Light" w:eastAsia="Times New Roman" w:hAnsi="Bahnschrift Light" w:cs="Tahoma"/>
          <w:snapToGrid w:val="0"/>
          <w:sz w:val="20"/>
          <w:szCs w:val="20"/>
          <w:lang w:eastAsia="ru-RU"/>
        </w:rPr>
        <w:t>Общим условиям.</w:t>
      </w:r>
    </w:p>
    <w:p w:rsidR="00A667C5" w:rsidRDefault="00A667C5" w:rsidP="00A667C5">
      <w:pPr>
        <w:pStyle w:val="a3"/>
        <w:spacing w:before="120" w:after="120" w:line="240" w:lineRule="auto"/>
        <w:ind w:left="0"/>
        <w:jc w:val="both"/>
        <w:rPr>
          <w:rFonts w:ascii="Bahnschrift Light" w:eastAsia="Times New Roman" w:hAnsi="Bahnschrift Light" w:cs="Tahoma"/>
          <w:snapToGrid w:val="0"/>
          <w:sz w:val="20"/>
          <w:szCs w:val="20"/>
          <w:lang w:eastAsia="ru-RU"/>
        </w:rPr>
      </w:pPr>
    </w:p>
    <w:p w:rsidR="00A667C5" w:rsidRDefault="00A667C5" w:rsidP="00A667C5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0" w:firstLine="0"/>
        <w:jc w:val="both"/>
        <w:rPr>
          <w:rFonts w:ascii="Bahnschrift Light" w:hAnsi="Bahnschrift Light" w:cs="Tahoma"/>
          <w:sz w:val="20"/>
          <w:szCs w:val="20"/>
        </w:rPr>
      </w:pPr>
      <w:r w:rsidRPr="00FA795D"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 xml:space="preserve">Уточнены сроки порядок рассмотрения жалоб и обращений </w:t>
      </w:r>
      <w:proofErr w:type="gramStart"/>
      <w:r w:rsidRPr="00FA795D"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>в соответствии с Федеральный закон</w:t>
      </w:r>
      <w:proofErr w:type="gramEnd"/>
      <w:r w:rsidRPr="00FA795D"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 xml:space="preserve"> от 04.08.2023 N 442-ФЗ «О внесении изменений в Федеральный закон "О Центральном банке Российской Федерации (Банке России)»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Федерации».</w:t>
      </w:r>
      <w:r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 xml:space="preserve"> </w:t>
      </w:r>
      <w:r w:rsidRPr="00256F7E">
        <w:rPr>
          <w:rFonts w:ascii="Bahnschrift Light" w:hAnsi="Bahnschrift Light" w:cs="Tahoma"/>
          <w:sz w:val="20"/>
          <w:szCs w:val="20"/>
        </w:rPr>
        <w:t xml:space="preserve">Компания принимает обращения и жалобы </w:t>
      </w:r>
      <w:r>
        <w:rPr>
          <w:rFonts w:ascii="Bahnschrift Light" w:hAnsi="Bahnschrift Light" w:cs="Tahoma"/>
          <w:sz w:val="20"/>
          <w:szCs w:val="20"/>
        </w:rPr>
        <w:t>в соответствии с П</w:t>
      </w:r>
      <w:r w:rsidRPr="002575B0">
        <w:rPr>
          <w:rFonts w:ascii="Bahnschrift Light" w:hAnsi="Bahnschrift Light" w:cs="Tahoma"/>
          <w:sz w:val="20"/>
          <w:szCs w:val="20"/>
        </w:rPr>
        <w:t>оряд</w:t>
      </w:r>
      <w:r>
        <w:rPr>
          <w:rFonts w:ascii="Bahnschrift Light" w:hAnsi="Bahnschrift Light" w:cs="Tahoma"/>
          <w:sz w:val="20"/>
          <w:szCs w:val="20"/>
        </w:rPr>
        <w:t>ком</w:t>
      </w:r>
      <w:r w:rsidRPr="002575B0">
        <w:rPr>
          <w:rFonts w:ascii="Bahnschrift Light" w:hAnsi="Bahnschrift Light" w:cs="Tahoma"/>
          <w:sz w:val="20"/>
          <w:szCs w:val="20"/>
        </w:rPr>
        <w:t xml:space="preserve"> рассмотрения жалоб и обращений в ООО «СПЭК ИНВЕСТМЕНТ»</w:t>
      </w:r>
      <w:r>
        <w:rPr>
          <w:rFonts w:ascii="Bahnschrift Light" w:hAnsi="Bahnschrift Light" w:cs="Tahoma"/>
          <w:sz w:val="20"/>
          <w:szCs w:val="20"/>
        </w:rPr>
        <w:t>, размещенном на Сайте.</w:t>
      </w:r>
    </w:p>
    <w:p w:rsidR="00A667C5" w:rsidRPr="00A667C5" w:rsidRDefault="00A667C5" w:rsidP="00A667C5">
      <w:pPr>
        <w:pStyle w:val="a3"/>
        <w:rPr>
          <w:rFonts w:ascii="Bahnschrift Light" w:hAnsi="Bahnschrift Light" w:cs="Tahoma"/>
          <w:sz w:val="20"/>
          <w:szCs w:val="20"/>
        </w:rPr>
      </w:pPr>
    </w:p>
    <w:p w:rsidR="00A667C5" w:rsidRDefault="00A667C5" w:rsidP="00A667C5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0" w:firstLine="0"/>
        <w:jc w:val="both"/>
        <w:rPr>
          <w:rFonts w:ascii="Bahnschrift Light" w:hAnsi="Bahnschrift Light" w:cs="Tahoma"/>
          <w:sz w:val="20"/>
          <w:szCs w:val="20"/>
        </w:rPr>
      </w:pPr>
      <w:r w:rsidRPr="00A667C5">
        <w:rPr>
          <w:rFonts w:ascii="Bahnschrift Light" w:hAnsi="Bahnschrift Light" w:cs="Tahoma"/>
          <w:sz w:val="20"/>
          <w:szCs w:val="20"/>
        </w:rPr>
        <w:t>Внесены изменения в Приложение № 1</w:t>
      </w:r>
      <w:r>
        <w:rPr>
          <w:rFonts w:ascii="Bahnschrift Light" w:hAnsi="Bahnschrift Light" w:cs="Tahoma"/>
          <w:sz w:val="20"/>
          <w:szCs w:val="20"/>
        </w:rPr>
        <w:t>.1.</w:t>
      </w:r>
      <w:r w:rsidRPr="00A667C5">
        <w:rPr>
          <w:rFonts w:ascii="Bahnschrift Light" w:hAnsi="Bahnschrift Light" w:cs="Tahoma"/>
          <w:sz w:val="20"/>
          <w:szCs w:val="20"/>
        </w:rPr>
        <w:t xml:space="preserve">: Заявление о присоединении (для физических лиц) (форма), Приложение № </w:t>
      </w:r>
      <w:r>
        <w:rPr>
          <w:rFonts w:ascii="Bahnschrift Light" w:hAnsi="Bahnschrift Light" w:cs="Tahoma"/>
          <w:sz w:val="20"/>
          <w:szCs w:val="20"/>
        </w:rPr>
        <w:t>1.</w:t>
      </w:r>
      <w:r w:rsidRPr="00A667C5">
        <w:rPr>
          <w:rFonts w:ascii="Bahnschrift Light" w:hAnsi="Bahnschrift Light" w:cs="Tahoma"/>
          <w:sz w:val="20"/>
          <w:szCs w:val="20"/>
        </w:rPr>
        <w:t xml:space="preserve">2: Заявление о </w:t>
      </w:r>
      <w:r w:rsidRPr="00A667C5"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>присоединении</w:t>
      </w:r>
      <w:r w:rsidRPr="00A667C5">
        <w:rPr>
          <w:rFonts w:ascii="Bahnschrift Light" w:hAnsi="Bahnschrift Light" w:cs="Tahoma"/>
          <w:sz w:val="20"/>
          <w:szCs w:val="20"/>
        </w:rPr>
        <w:t xml:space="preserve"> (для юридических лиц) (форма), Приложение № </w:t>
      </w:r>
      <w:r>
        <w:rPr>
          <w:rFonts w:ascii="Bahnschrift Light" w:hAnsi="Bahnschrift Light" w:cs="Tahoma"/>
          <w:sz w:val="20"/>
          <w:szCs w:val="20"/>
        </w:rPr>
        <w:t>1.</w:t>
      </w:r>
      <w:r w:rsidRPr="00A667C5">
        <w:rPr>
          <w:rFonts w:ascii="Bahnschrift Light" w:hAnsi="Bahnschrift Light" w:cs="Tahoma"/>
          <w:sz w:val="20"/>
          <w:szCs w:val="20"/>
        </w:rPr>
        <w:t>3: Заявление об изменении условий обслуживания (</w:t>
      </w:r>
      <w:r>
        <w:rPr>
          <w:rFonts w:ascii="Bahnschrift Light" w:hAnsi="Bahnschrift Light" w:cs="Tahoma"/>
          <w:sz w:val="20"/>
          <w:szCs w:val="20"/>
        </w:rPr>
        <w:t>форма).</w:t>
      </w:r>
    </w:p>
    <w:p w:rsidR="00A667C5" w:rsidRDefault="00A667C5" w:rsidP="00A667C5">
      <w:pPr>
        <w:pStyle w:val="a3"/>
        <w:tabs>
          <w:tab w:val="left" w:pos="567"/>
        </w:tabs>
        <w:spacing w:before="120" w:after="120" w:line="240" w:lineRule="auto"/>
        <w:ind w:left="0"/>
        <w:jc w:val="both"/>
        <w:rPr>
          <w:rFonts w:ascii="Bahnschrift Light" w:eastAsia="Times New Roman" w:hAnsi="Bahnschrift Light" w:cs="Tahoma"/>
          <w:snapToGrid w:val="0"/>
          <w:sz w:val="20"/>
          <w:szCs w:val="20"/>
          <w:lang w:eastAsia="ru-RU"/>
        </w:rPr>
      </w:pPr>
    </w:p>
    <w:p w:rsidR="00A667C5" w:rsidRPr="00A667C5" w:rsidRDefault="00A667C5" w:rsidP="00A667C5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0" w:firstLine="0"/>
        <w:jc w:val="both"/>
        <w:rPr>
          <w:rFonts w:ascii="Bahnschrift Light" w:eastAsia="Times New Roman" w:hAnsi="Bahnschrift Light" w:cs="Tahoma"/>
          <w:snapToGrid w:val="0"/>
          <w:sz w:val="20"/>
          <w:szCs w:val="20"/>
          <w:lang w:eastAsia="ru-RU"/>
        </w:rPr>
      </w:pPr>
      <w:r w:rsidRPr="00A667C5">
        <w:rPr>
          <w:rFonts w:ascii="Bahnschrift Light" w:eastAsia="Times New Roman" w:hAnsi="Bahnschrift Light" w:cs="Tahoma"/>
          <w:snapToGrid w:val="0"/>
          <w:sz w:val="20"/>
          <w:szCs w:val="20"/>
          <w:lang w:eastAsia="ru-RU"/>
        </w:rPr>
        <w:t xml:space="preserve">Изменено Приложение № </w:t>
      </w:r>
      <w:r w:rsidR="006C057B">
        <w:rPr>
          <w:rFonts w:ascii="Bahnschrift Light" w:eastAsia="Times New Roman" w:hAnsi="Bahnschrift Light" w:cs="Tahoma"/>
          <w:snapToGrid w:val="0"/>
          <w:sz w:val="20"/>
          <w:szCs w:val="20"/>
          <w:lang w:eastAsia="ru-RU"/>
        </w:rPr>
        <w:t xml:space="preserve">1. </w:t>
      </w:r>
      <w:r w:rsidRPr="00A667C5">
        <w:rPr>
          <w:rFonts w:ascii="Bahnschrift Light" w:eastAsia="Times New Roman" w:hAnsi="Bahnschrift Light" w:cs="Tahoma"/>
          <w:snapToGrid w:val="0"/>
          <w:sz w:val="20"/>
          <w:szCs w:val="20"/>
          <w:lang w:eastAsia="ru-RU"/>
        </w:rPr>
        <w:t xml:space="preserve">4: форма Уведомление об открытии счета заменена на перечень информации, </w:t>
      </w:r>
      <w:r w:rsidRPr="00A667C5">
        <w:rPr>
          <w:rFonts w:ascii="Bahnschrift Light" w:hAnsi="Bahnschrift Light" w:cs="Tahoma"/>
          <w:sz w:val="20"/>
          <w:szCs w:val="20"/>
        </w:rPr>
        <w:t>которая</w:t>
      </w:r>
      <w:r w:rsidRPr="00A667C5">
        <w:rPr>
          <w:rFonts w:ascii="Bahnschrift Light" w:eastAsia="Times New Roman" w:hAnsi="Bahnschrift Light" w:cs="Tahoma"/>
          <w:snapToGrid w:val="0"/>
          <w:sz w:val="20"/>
          <w:szCs w:val="20"/>
          <w:lang w:eastAsia="ru-RU"/>
        </w:rPr>
        <w:t xml:space="preserve"> должна быть включена в такое Уведомление.</w:t>
      </w:r>
    </w:p>
    <w:p w:rsidR="00A667C5" w:rsidRPr="00A667C5" w:rsidRDefault="00A667C5" w:rsidP="00A667C5">
      <w:pPr>
        <w:pStyle w:val="a3"/>
        <w:tabs>
          <w:tab w:val="left" w:pos="567"/>
        </w:tabs>
        <w:spacing w:before="120" w:after="120" w:line="240" w:lineRule="auto"/>
        <w:jc w:val="both"/>
        <w:rPr>
          <w:rFonts w:ascii="Bahnschrift Light" w:eastAsia="Times New Roman" w:hAnsi="Bahnschrift Light" w:cs="Tahoma"/>
          <w:snapToGrid w:val="0"/>
          <w:sz w:val="20"/>
          <w:szCs w:val="20"/>
          <w:lang w:eastAsia="ru-RU"/>
        </w:rPr>
      </w:pPr>
    </w:p>
    <w:p w:rsidR="006C057B" w:rsidRDefault="006C057B" w:rsidP="006C057B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0" w:firstLine="0"/>
        <w:jc w:val="both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 xml:space="preserve">Изменено </w:t>
      </w:r>
      <w:r w:rsidRPr="006C057B">
        <w:rPr>
          <w:rFonts w:ascii="Bahnschrift Light" w:eastAsia="Times New Roman" w:hAnsi="Bahnschrift Light" w:cs="Tahoma"/>
          <w:snapToGrid w:val="0"/>
          <w:sz w:val="20"/>
          <w:szCs w:val="20"/>
          <w:lang w:eastAsia="ru-RU"/>
        </w:rPr>
        <w:t>Приложение</w:t>
      </w:r>
      <w:r>
        <w:rPr>
          <w:rFonts w:ascii="Bahnschrift Light" w:hAnsi="Bahnschrift Light"/>
          <w:sz w:val="20"/>
          <w:szCs w:val="20"/>
        </w:rPr>
        <w:t xml:space="preserve"> № 2 Тариф</w:t>
      </w:r>
      <w:r w:rsidRPr="006C057B">
        <w:rPr>
          <w:rFonts w:ascii="Bahnschrift Light" w:hAnsi="Bahnschrift Light"/>
          <w:sz w:val="20"/>
          <w:szCs w:val="20"/>
        </w:rPr>
        <w:t>ы на услуги депозитария ООО «СПЭК ИНВЕСТМЕНТ»</w:t>
      </w:r>
      <w:r>
        <w:rPr>
          <w:rFonts w:ascii="Bahnschrift Light" w:hAnsi="Bahnschrift Light"/>
          <w:sz w:val="20"/>
          <w:szCs w:val="20"/>
        </w:rPr>
        <w:t>: уточнены правила расчета вознаграждения</w:t>
      </w:r>
      <w:r w:rsidR="003908C9">
        <w:rPr>
          <w:rFonts w:ascii="Bahnschrift Light" w:hAnsi="Bahnschrift Light"/>
          <w:sz w:val="20"/>
          <w:szCs w:val="20"/>
        </w:rPr>
        <w:t>, изменены ставки вознаграждения.</w:t>
      </w:r>
    </w:p>
    <w:p w:rsidR="003908C9" w:rsidRPr="003908C9" w:rsidRDefault="003908C9" w:rsidP="003908C9">
      <w:pPr>
        <w:pStyle w:val="a3"/>
        <w:rPr>
          <w:rFonts w:ascii="Bahnschrift Light" w:hAnsi="Bahnschrift Light"/>
          <w:sz w:val="20"/>
          <w:szCs w:val="20"/>
        </w:rPr>
      </w:pPr>
    </w:p>
    <w:p w:rsidR="003908C9" w:rsidRDefault="003908C9" w:rsidP="006C057B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0" w:firstLine="0"/>
        <w:jc w:val="both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>Изменено Приложение № 3, Ф-7.</w:t>
      </w:r>
    </w:p>
    <w:p w:rsidR="003908C9" w:rsidRPr="003908C9" w:rsidRDefault="003908C9" w:rsidP="003908C9">
      <w:pPr>
        <w:pStyle w:val="a3"/>
        <w:rPr>
          <w:rFonts w:ascii="Bahnschrift Light" w:hAnsi="Bahnschrift Light"/>
          <w:sz w:val="20"/>
          <w:szCs w:val="20"/>
        </w:rPr>
      </w:pPr>
    </w:p>
    <w:p w:rsidR="003908C9" w:rsidRPr="006C057B" w:rsidRDefault="003908C9" w:rsidP="006C057B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0" w:firstLine="0"/>
        <w:jc w:val="both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>Изменены Приложения № 4.1., 4.2., 4.3, 4.4.</w:t>
      </w:r>
    </w:p>
    <w:p w:rsidR="006108B4" w:rsidRPr="006C057B" w:rsidRDefault="006108B4" w:rsidP="006C057B">
      <w:pPr>
        <w:pStyle w:val="a3"/>
        <w:spacing w:before="120" w:after="120" w:line="240" w:lineRule="auto"/>
        <w:jc w:val="both"/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</w:pPr>
    </w:p>
    <w:p w:rsidR="00BE64A7" w:rsidRDefault="00BE64A7" w:rsidP="00FA795D">
      <w:pPr>
        <w:spacing w:before="120" w:after="120" w:line="240" w:lineRule="auto"/>
        <w:jc w:val="both"/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</w:pPr>
    </w:p>
    <w:p w:rsidR="00FA795D" w:rsidRPr="00FA795D" w:rsidRDefault="00FA795D" w:rsidP="00FA795D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795D"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>Описание изменений в Брокерский регламент:</w:t>
      </w:r>
    </w:p>
    <w:p w:rsidR="00FA795D" w:rsidRPr="00FA795D" w:rsidRDefault="00FA795D" w:rsidP="00FA795D">
      <w:pPr>
        <w:spacing w:before="120" w:after="120" w:line="240" w:lineRule="auto"/>
        <w:jc w:val="both"/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</w:pPr>
      <w:r w:rsidRPr="00FA795D"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 xml:space="preserve">1 </w:t>
      </w:r>
      <w:r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 xml:space="preserve">            </w:t>
      </w:r>
      <w:r w:rsidRPr="00FA795D"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>Уточнены условия предоставления доступа к Срочн</w:t>
      </w:r>
      <w:r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 xml:space="preserve">ому рынку, </w:t>
      </w:r>
      <w:r w:rsidRPr="00FA795D"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>Валютн</w:t>
      </w:r>
      <w:r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>ому рынку</w:t>
      </w:r>
      <w:r w:rsidR="005F646E"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>, совершению Сделок с использованием услуг Вышестоящего брокера.</w:t>
      </w:r>
      <w:r w:rsidR="00135E7C" w:rsidRPr="00135E7C">
        <w:t xml:space="preserve"> </w:t>
      </w:r>
      <w:r w:rsidR="00135E7C" w:rsidRPr="00135E7C"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 xml:space="preserve">Сделки на Фондовом и Срочном рынке могут заключаться Компанией самостоятельно как участником торгов либо с привлечением Вышестоящего брокера. Сделки на Валютном рынке могут заключаться только с привлечением Вышестоящего брокера. Доступ к Срочному и </w:t>
      </w:r>
      <w:r w:rsidR="00135E7C" w:rsidRPr="00135E7C"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lastRenderedPageBreak/>
        <w:t>Валютному рынкам</w:t>
      </w:r>
      <w:r w:rsidR="00D55174"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>, а также к Сделкам, заключаемым с использованием услуг Вышестоящего Брокера,</w:t>
      </w:r>
      <w:r w:rsidR="00135E7C" w:rsidRPr="00135E7C"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 xml:space="preserve"> осуществляется в соответствии с дополнительным соглашением к Договору.</w:t>
      </w:r>
    </w:p>
    <w:p w:rsidR="007404A9" w:rsidRDefault="007404A9" w:rsidP="00FA795D">
      <w:pPr>
        <w:spacing w:before="120" w:after="120" w:line="240" w:lineRule="auto"/>
        <w:jc w:val="both"/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</w:pPr>
      <w:r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>2              Уточнены положения о моменте доставки Сообщения Клиента в адрес Компании по электронной почте</w:t>
      </w:r>
      <w:r w:rsidR="00B81E8D"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>: Сообщение считается также доставленным Клиенту, если получено уведомление почтовой программы о невозможности доставить электронное письмо на Электронную почту Клиента.</w:t>
      </w:r>
    </w:p>
    <w:p w:rsidR="007404A9" w:rsidRDefault="007404A9" w:rsidP="00FA795D">
      <w:pPr>
        <w:spacing w:before="120" w:after="120" w:line="240" w:lineRule="auto"/>
        <w:jc w:val="both"/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</w:pPr>
      <w:r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>3       Установлены правила определения индикативной стоимости ценных бумаг, указываемой в Отчете Компании в адрес Клиента.</w:t>
      </w:r>
    </w:p>
    <w:p w:rsidR="007404A9" w:rsidRPr="00D55174" w:rsidRDefault="007404A9" w:rsidP="00D55174">
      <w:pPr>
        <w:spacing w:before="120" w:after="120" w:line="240" w:lineRule="auto"/>
        <w:jc w:val="both"/>
        <w:rPr>
          <w:rFonts w:ascii="Bahnschrift Light" w:hAnsi="Bahnschrift Light" w:cs="Tahoma"/>
          <w:sz w:val="20"/>
          <w:szCs w:val="20"/>
        </w:rPr>
      </w:pPr>
      <w:r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 xml:space="preserve">4 </w:t>
      </w:r>
      <w:r w:rsidR="0025654A"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 xml:space="preserve">      Уточнены правила установления ограничений </w:t>
      </w:r>
      <w:r w:rsidR="0025654A" w:rsidRPr="00256F7E">
        <w:rPr>
          <w:rFonts w:ascii="Bahnschrift Light" w:hAnsi="Bahnschrift Light" w:cs="Tahoma"/>
          <w:sz w:val="20"/>
          <w:szCs w:val="20"/>
        </w:rPr>
        <w:t xml:space="preserve">на перечень иностранных валют, денежные средства в которых могут быть </w:t>
      </w:r>
      <w:r w:rsidR="0025654A">
        <w:rPr>
          <w:rFonts w:ascii="Bahnschrift Light" w:hAnsi="Bahnschrift Light" w:cs="Tahoma"/>
          <w:sz w:val="20"/>
          <w:szCs w:val="20"/>
        </w:rPr>
        <w:t>зачислены на Брокерский счет.</w:t>
      </w:r>
      <w:r w:rsidR="00D55174" w:rsidRPr="00D55174">
        <w:rPr>
          <w:rFonts w:ascii="Bahnschrift Light" w:hAnsi="Bahnschrift Light" w:cs="Tahoma"/>
          <w:sz w:val="20"/>
          <w:szCs w:val="20"/>
        </w:rPr>
        <w:t xml:space="preserve"> Компания вправе устанавливать ограничения на перечень иностранных валют, денежные средства в которых могут быть зачислены на Брокерский счет путем указания соответствующий реквизитов банковского счета в Уведомлении об открытии счета и публикации реквизитов на Сайте Компании (перед перечислением денежных средств Клиент обязуется проверить перечень доступных банковских реквизитов путем посещения Сайта). Перечень иностранной валюты, которую Клиент вправе вывести с Брокерского счета, публикуется на Сайте.</w:t>
      </w:r>
    </w:p>
    <w:p w:rsidR="0025654A" w:rsidRDefault="0025654A" w:rsidP="00FA795D">
      <w:pPr>
        <w:spacing w:before="120" w:after="120" w:line="240" w:lineRule="auto"/>
        <w:jc w:val="both"/>
        <w:rPr>
          <w:rFonts w:ascii="Bahnschrift Light" w:hAnsi="Bahnschrift Light" w:cs="Tahoma"/>
          <w:sz w:val="20"/>
          <w:szCs w:val="20"/>
        </w:rPr>
      </w:pPr>
      <w:r>
        <w:rPr>
          <w:rFonts w:ascii="Bahnschrift Light" w:hAnsi="Bahnschrift Light" w:cs="Tahoma"/>
          <w:sz w:val="20"/>
          <w:szCs w:val="20"/>
        </w:rPr>
        <w:t>5.          Утонены положения об использовании типовых форм и бланков Компании в отношениях с Клиентами по Договору.</w:t>
      </w:r>
    </w:p>
    <w:p w:rsidR="0025654A" w:rsidRDefault="0025654A" w:rsidP="0025654A">
      <w:pPr>
        <w:pStyle w:val="a3"/>
        <w:tabs>
          <w:tab w:val="num" w:pos="2160"/>
        </w:tabs>
        <w:spacing w:before="120" w:after="120" w:line="240" w:lineRule="auto"/>
        <w:ind w:left="0"/>
        <w:contextualSpacing w:val="0"/>
        <w:jc w:val="both"/>
        <w:rPr>
          <w:rFonts w:ascii="Bahnschrift Light" w:hAnsi="Bahnschrift Light" w:cs="Tahoma"/>
          <w:sz w:val="20"/>
          <w:szCs w:val="20"/>
        </w:rPr>
      </w:pPr>
      <w:r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>6.          Уточнены требования к документам</w:t>
      </w:r>
      <w:r>
        <w:rPr>
          <w:rFonts w:ascii="Bahnschrift Light" w:hAnsi="Bahnschrift Light" w:cs="Tahoma"/>
          <w:sz w:val="20"/>
          <w:szCs w:val="20"/>
        </w:rPr>
        <w:t>, необходимым для проведения контрольных процедур в от</w:t>
      </w:r>
      <w:r w:rsidR="00626478">
        <w:rPr>
          <w:rFonts w:ascii="Bahnschrift Light" w:hAnsi="Bahnschrift Light" w:cs="Tahoma"/>
          <w:sz w:val="20"/>
          <w:szCs w:val="20"/>
        </w:rPr>
        <w:t>ношении владельцев ценных бумаг</w:t>
      </w:r>
      <w:r>
        <w:rPr>
          <w:rFonts w:ascii="Bahnschrift Light" w:hAnsi="Bahnschrift Light" w:cs="Tahoma"/>
          <w:sz w:val="20"/>
          <w:szCs w:val="20"/>
        </w:rPr>
        <w:t>.</w:t>
      </w:r>
      <w:r w:rsidR="00A6790A">
        <w:rPr>
          <w:rFonts w:ascii="Bahnschrift Light" w:hAnsi="Bahnschrift Light" w:cs="Tahoma"/>
          <w:sz w:val="20"/>
          <w:szCs w:val="20"/>
        </w:rPr>
        <w:t xml:space="preserve"> </w:t>
      </w:r>
    </w:p>
    <w:p w:rsidR="00626478" w:rsidRPr="00626478" w:rsidRDefault="00626478" w:rsidP="00626478">
      <w:pPr>
        <w:pStyle w:val="a3"/>
        <w:tabs>
          <w:tab w:val="num" w:pos="2160"/>
        </w:tabs>
        <w:spacing w:before="120" w:after="120" w:line="240" w:lineRule="auto"/>
        <w:ind w:left="0"/>
        <w:contextualSpacing w:val="0"/>
        <w:jc w:val="both"/>
        <w:rPr>
          <w:rFonts w:ascii="Bahnschrift Light" w:hAnsi="Bahnschrift Light" w:cs="Tahoma"/>
          <w:sz w:val="20"/>
          <w:szCs w:val="20"/>
        </w:rPr>
      </w:pPr>
      <w:r>
        <w:rPr>
          <w:rFonts w:ascii="Bahnschrift Light" w:hAnsi="Bahnschrift Light" w:cs="Tahoma"/>
          <w:sz w:val="20"/>
          <w:szCs w:val="20"/>
        </w:rPr>
        <w:t xml:space="preserve">7. </w:t>
      </w:r>
      <w:r w:rsidR="009E66FA">
        <w:rPr>
          <w:rFonts w:ascii="Bahnschrift Light" w:hAnsi="Bahnschrift Light" w:cs="Tahoma"/>
          <w:sz w:val="20"/>
          <w:szCs w:val="20"/>
        </w:rPr>
        <w:t xml:space="preserve">     </w:t>
      </w:r>
      <w:r>
        <w:rPr>
          <w:rFonts w:ascii="Bahnschrift Light" w:hAnsi="Bahnschrift Light" w:cs="Tahoma"/>
          <w:sz w:val="20"/>
          <w:szCs w:val="20"/>
        </w:rPr>
        <w:t>Уточнены правила оплаты вознаграждения Компании и Расходов, связанных с оказанием услуг по Договору. С</w:t>
      </w:r>
      <w:r w:rsidRPr="00626478">
        <w:rPr>
          <w:rFonts w:ascii="Bahnschrift Light" w:eastAsia="Times New Roman" w:hAnsi="Bahnschrift Light" w:cs="Tahoma"/>
          <w:color w:val="000000"/>
          <w:sz w:val="20"/>
          <w:szCs w:val="20"/>
        </w:rPr>
        <w:t xml:space="preserve">писание вознаграждения и Расходов производится только за счет положительного остатка денежных средств на Брокерском счете. При этом Компания вправе списывать вознаграждение и Расходы частично и (или) переводить денежные средства между Торговыми площадками и (СБС), если зачисленных на такую Торговую площадку или СБС денежных средств </w:t>
      </w:r>
      <w:proofErr w:type="gramStart"/>
      <w:r w:rsidRPr="00626478">
        <w:rPr>
          <w:rFonts w:ascii="Bahnschrift Light" w:eastAsia="Times New Roman" w:hAnsi="Bahnschrift Light" w:cs="Tahoma"/>
          <w:color w:val="000000"/>
          <w:sz w:val="20"/>
          <w:szCs w:val="20"/>
        </w:rPr>
        <w:t>не</w:t>
      </w:r>
      <w:r w:rsidR="00B70E1B">
        <w:rPr>
          <w:rFonts w:ascii="Bahnschrift Light" w:eastAsia="Times New Roman" w:hAnsi="Bahnschrift Light" w:cs="Tahoma"/>
          <w:color w:val="000000"/>
          <w:sz w:val="20"/>
          <w:szCs w:val="20"/>
        </w:rPr>
        <w:t xml:space="preserve"> </w:t>
      </w:r>
      <w:r w:rsidRPr="00626478">
        <w:rPr>
          <w:rFonts w:ascii="Bahnschrift Light" w:eastAsia="Times New Roman" w:hAnsi="Bahnschrift Light" w:cs="Tahoma"/>
          <w:color w:val="000000"/>
          <w:sz w:val="20"/>
          <w:szCs w:val="20"/>
        </w:rPr>
        <w:t>достаточно</w:t>
      </w:r>
      <w:proofErr w:type="gramEnd"/>
      <w:r w:rsidRPr="00626478">
        <w:rPr>
          <w:rFonts w:ascii="Bahnschrift Light" w:eastAsia="Times New Roman" w:hAnsi="Bahnschrift Light" w:cs="Tahoma"/>
          <w:color w:val="000000"/>
          <w:sz w:val="20"/>
          <w:szCs w:val="20"/>
        </w:rPr>
        <w:t xml:space="preserve"> для уплаты соответствующей задолженности.</w:t>
      </w:r>
    </w:p>
    <w:p w:rsidR="009E66FA" w:rsidRPr="009E66FA" w:rsidRDefault="009E66FA" w:rsidP="009E66FA">
      <w:pPr>
        <w:spacing w:before="120" w:after="120" w:line="240" w:lineRule="auto"/>
        <w:jc w:val="both"/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</w:pPr>
      <w:r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 xml:space="preserve">8. </w:t>
      </w:r>
      <w:r w:rsidR="001E4913"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 xml:space="preserve">         </w:t>
      </w:r>
      <w:r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 xml:space="preserve">Уточнены правила предоставления Отчетов Компании в адрес Клиентов. </w:t>
      </w:r>
      <w:r w:rsidRPr="009E66FA"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 xml:space="preserve">Компания направляет Клиенту Отчет за Отчетный период, указанный в Регламенте, либо в соответствующем запросе Клиента, в течение первых 10 (Десяти) Рабочих дней, следующих за Отчетным периодом (если в течение Отчетного периода на Брокерском счете учитывались денежные средства и (или) Финансовые инструменты Клиента и (или) совершались какие-либо операции) либо Датой доставки такого запроса соответственно. В случае если в течение календарного года на Брокерском счете отсутствуют денежные средства и (или) Финансовые инструменты, а также не совершались никакие операции, Компания вправе предоставлять Клиенту </w:t>
      </w:r>
      <w:proofErr w:type="gramStart"/>
      <w:r w:rsidRPr="009E66FA"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>один  Отчет</w:t>
      </w:r>
      <w:proofErr w:type="gramEnd"/>
      <w:r w:rsidRPr="009E66FA"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 xml:space="preserve"> по результатам такого календарного года.</w:t>
      </w:r>
    </w:p>
    <w:p w:rsidR="001E4913" w:rsidRDefault="00FA795D" w:rsidP="001E4913">
      <w:pPr>
        <w:pStyle w:val="a3"/>
        <w:tabs>
          <w:tab w:val="left" w:pos="567"/>
        </w:tabs>
        <w:spacing w:before="120" w:after="120" w:line="240" w:lineRule="auto"/>
        <w:ind w:left="0"/>
        <w:contextualSpacing w:val="0"/>
        <w:jc w:val="both"/>
        <w:rPr>
          <w:rFonts w:ascii="Bahnschrift Light" w:hAnsi="Bahnschrift Light" w:cs="Tahoma"/>
          <w:sz w:val="20"/>
          <w:szCs w:val="20"/>
        </w:rPr>
      </w:pPr>
      <w:r w:rsidRPr="00FA795D"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>9.</w:t>
      </w:r>
      <w:r w:rsidRPr="00FA79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FA795D"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 xml:space="preserve">Уточнены сроки порядок рассмотрения жалоб и обращений </w:t>
      </w:r>
      <w:proofErr w:type="gramStart"/>
      <w:r w:rsidRPr="00FA795D"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>в соответствии с Федеральный закон</w:t>
      </w:r>
      <w:proofErr w:type="gramEnd"/>
      <w:r w:rsidRPr="00FA795D"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 xml:space="preserve"> от 04.08.2023 N 442-ФЗ «О внесении изменений в Федеральный закон "О Центральном банке Российской Федерации (Банке России)»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Федерации».</w:t>
      </w:r>
      <w:r w:rsidR="001E4913">
        <w:rPr>
          <w:rFonts w:ascii="Bahnschrift Light" w:eastAsia="Times New Roman" w:hAnsi="Bahnschrift Light" w:cs="Calibri"/>
          <w:color w:val="000000"/>
          <w:sz w:val="20"/>
          <w:szCs w:val="20"/>
          <w:lang w:eastAsia="ru-RU"/>
        </w:rPr>
        <w:t xml:space="preserve"> </w:t>
      </w:r>
      <w:r w:rsidR="001E4913" w:rsidRPr="00256F7E">
        <w:rPr>
          <w:rFonts w:ascii="Bahnschrift Light" w:hAnsi="Bahnschrift Light" w:cs="Tahoma"/>
          <w:sz w:val="20"/>
          <w:szCs w:val="20"/>
        </w:rPr>
        <w:t xml:space="preserve">Компания принимает обращения и жалобы </w:t>
      </w:r>
      <w:r w:rsidR="001E4913">
        <w:rPr>
          <w:rFonts w:ascii="Bahnschrift Light" w:hAnsi="Bahnschrift Light" w:cs="Tahoma"/>
          <w:sz w:val="20"/>
          <w:szCs w:val="20"/>
        </w:rPr>
        <w:t>в соответствии с П</w:t>
      </w:r>
      <w:r w:rsidR="001E4913" w:rsidRPr="002575B0">
        <w:rPr>
          <w:rFonts w:ascii="Bahnschrift Light" w:hAnsi="Bahnschrift Light" w:cs="Tahoma"/>
          <w:sz w:val="20"/>
          <w:szCs w:val="20"/>
        </w:rPr>
        <w:t>оряд</w:t>
      </w:r>
      <w:r w:rsidR="001E4913">
        <w:rPr>
          <w:rFonts w:ascii="Bahnschrift Light" w:hAnsi="Bahnschrift Light" w:cs="Tahoma"/>
          <w:sz w:val="20"/>
          <w:szCs w:val="20"/>
        </w:rPr>
        <w:t>ком</w:t>
      </w:r>
      <w:r w:rsidR="001E4913" w:rsidRPr="002575B0">
        <w:rPr>
          <w:rFonts w:ascii="Bahnschrift Light" w:hAnsi="Bahnschrift Light" w:cs="Tahoma"/>
          <w:sz w:val="20"/>
          <w:szCs w:val="20"/>
        </w:rPr>
        <w:t xml:space="preserve"> рассмотрения жалоб и обращений в ООО «СПЭК ИНВЕСТМЕНТ»</w:t>
      </w:r>
      <w:r w:rsidR="001E4913">
        <w:rPr>
          <w:rFonts w:ascii="Bahnschrift Light" w:hAnsi="Bahnschrift Light" w:cs="Tahoma"/>
          <w:sz w:val="20"/>
          <w:szCs w:val="20"/>
        </w:rPr>
        <w:t>, размещенном на Сайте.</w:t>
      </w:r>
    </w:p>
    <w:p w:rsidR="001E4913" w:rsidRDefault="001E4913" w:rsidP="001E4913">
      <w:pPr>
        <w:spacing w:after="13" w:line="267" w:lineRule="auto"/>
        <w:jc w:val="both"/>
        <w:rPr>
          <w:rFonts w:ascii="Bahnschrift Light" w:hAnsi="Bahnschrift Light"/>
          <w:sz w:val="20"/>
          <w:szCs w:val="20"/>
        </w:rPr>
      </w:pPr>
      <w:r w:rsidRPr="001E4913">
        <w:rPr>
          <w:rFonts w:ascii="Bahnschrift Light" w:hAnsi="Bahnschrift Light" w:cs="Tahoma"/>
          <w:sz w:val="20"/>
          <w:szCs w:val="20"/>
        </w:rPr>
        <w:t xml:space="preserve">10. </w:t>
      </w:r>
      <w:r w:rsidR="00135E7C">
        <w:rPr>
          <w:rFonts w:ascii="Bahnschrift Light" w:hAnsi="Bahnschrift Light" w:cs="Tahoma"/>
          <w:sz w:val="20"/>
          <w:szCs w:val="20"/>
        </w:rPr>
        <w:t xml:space="preserve">        </w:t>
      </w:r>
      <w:r w:rsidRPr="001E4913">
        <w:rPr>
          <w:rFonts w:ascii="Bahnschrift Light" w:hAnsi="Bahnschrift Light"/>
          <w:sz w:val="20"/>
          <w:szCs w:val="20"/>
        </w:rPr>
        <w:t>Приложение</w:t>
      </w:r>
      <w:r>
        <w:rPr>
          <w:rFonts w:ascii="Bahnschrift Light" w:hAnsi="Bahnschrift Light"/>
          <w:sz w:val="20"/>
          <w:szCs w:val="20"/>
        </w:rPr>
        <w:t xml:space="preserve"> № 6 разделено на 2 части:</w:t>
      </w:r>
    </w:p>
    <w:p w:rsidR="001E4913" w:rsidRPr="001E4913" w:rsidRDefault="001E4913" w:rsidP="001E4913">
      <w:pPr>
        <w:spacing w:after="13" w:line="267" w:lineRule="auto"/>
        <w:jc w:val="both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 xml:space="preserve">Приложение </w:t>
      </w:r>
      <w:r w:rsidRPr="001E4913">
        <w:rPr>
          <w:rFonts w:ascii="Bahnschrift Light" w:hAnsi="Bahnschrift Light"/>
          <w:sz w:val="20"/>
          <w:szCs w:val="20"/>
        </w:rPr>
        <w:t>№ 6.1.: Поручение на отзыв денежных средств (форма);</w:t>
      </w:r>
    </w:p>
    <w:p w:rsidR="001E4913" w:rsidRDefault="001E4913" w:rsidP="001E4913">
      <w:pPr>
        <w:spacing w:after="13" w:line="267" w:lineRule="auto"/>
        <w:jc w:val="both"/>
        <w:rPr>
          <w:rFonts w:ascii="Bahnschrift Light" w:hAnsi="Bahnschrift Light"/>
          <w:sz w:val="20"/>
          <w:szCs w:val="20"/>
        </w:rPr>
      </w:pPr>
      <w:r w:rsidRPr="001E4913">
        <w:rPr>
          <w:rFonts w:ascii="Bahnschrift Light" w:hAnsi="Bahnschrift Light"/>
          <w:sz w:val="20"/>
          <w:szCs w:val="20"/>
        </w:rPr>
        <w:t>Приложение № 6.2. Поручение на перевод денежных средств (форма)</w:t>
      </w:r>
      <w:r>
        <w:rPr>
          <w:rFonts w:ascii="Bahnschrift Light" w:hAnsi="Bahnschrift Light"/>
          <w:sz w:val="20"/>
          <w:szCs w:val="20"/>
        </w:rPr>
        <w:t>.</w:t>
      </w:r>
    </w:p>
    <w:p w:rsidR="001E4913" w:rsidRDefault="001E4913" w:rsidP="001E4913">
      <w:pPr>
        <w:spacing w:after="13" w:line="267" w:lineRule="auto"/>
        <w:jc w:val="both"/>
        <w:rPr>
          <w:rFonts w:ascii="Bahnschrift Light" w:hAnsi="Bahnschrift Light"/>
          <w:sz w:val="20"/>
          <w:szCs w:val="20"/>
        </w:rPr>
      </w:pPr>
    </w:p>
    <w:p w:rsidR="001E4913" w:rsidRDefault="001E4913" w:rsidP="001E4913">
      <w:pPr>
        <w:spacing w:after="13" w:line="267" w:lineRule="auto"/>
        <w:jc w:val="both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 xml:space="preserve">11. </w:t>
      </w:r>
      <w:r w:rsidR="00135E7C">
        <w:rPr>
          <w:rFonts w:ascii="Bahnschrift Light" w:hAnsi="Bahnschrift Light"/>
          <w:sz w:val="20"/>
          <w:szCs w:val="20"/>
        </w:rPr>
        <w:t xml:space="preserve">     </w:t>
      </w:r>
      <w:r>
        <w:rPr>
          <w:rFonts w:ascii="Bahnschrift Light" w:hAnsi="Bahnschrift Light"/>
          <w:sz w:val="20"/>
          <w:szCs w:val="20"/>
        </w:rPr>
        <w:t xml:space="preserve">Внесены изменения в </w:t>
      </w:r>
      <w:r w:rsidRPr="001E4913">
        <w:rPr>
          <w:rFonts w:ascii="Bahnschrift Light" w:hAnsi="Bahnschrift Light"/>
          <w:sz w:val="20"/>
          <w:szCs w:val="20"/>
        </w:rPr>
        <w:t>Приложение № 1: Заявление о присоединении (для физических лиц)</w:t>
      </w:r>
      <w:r w:rsidR="00135E7C">
        <w:rPr>
          <w:rFonts w:ascii="Bahnschrift Light" w:hAnsi="Bahnschrift Light"/>
          <w:sz w:val="20"/>
          <w:szCs w:val="20"/>
        </w:rPr>
        <w:t xml:space="preserve"> (форма), </w:t>
      </w:r>
      <w:r w:rsidRPr="00256F7E">
        <w:rPr>
          <w:rFonts w:ascii="Bahnschrift Light" w:hAnsi="Bahnschrift Light"/>
          <w:sz w:val="20"/>
          <w:szCs w:val="20"/>
        </w:rPr>
        <w:t>Приложение № 2: Заявление о присоединении (для юридических лиц)</w:t>
      </w:r>
      <w:r w:rsidR="00135E7C">
        <w:rPr>
          <w:rFonts w:ascii="Bahnschrift Light" w:hAnsi="Bahnschrift Light"/>
          <w:sz w:val="20"/>
          <w:szCs w:val="20"/>
        </w:rPr>
        <w:t xml:space="preserve"> (форма), </w:t>
      </w:r>
      <w:r w:rsidRPr="001E4913">
        <w:rPr>
          <w:rFonts w:ascii="Bahnschrift Light" w:hAnsi="Bahnschrift Light"/>
          <w:sz w:val="20"/>
          <w:szCs w:val="20"/>
        </w:rPr>
        <w:t>Приложение № 3: Заявление об изменении условий обслуживания (форма);</w:t>
      </w:r>
    </w:p>
    <w:p w:rsidR="00135E7C" w:rsidRPr="001E4913" w:rsidRDefault="00135E7C" w:rsidP="001E4913">
      <w:pPr>
        <w:spacing w:after="13" w:line="267" w:lineRule="auto"/>
        <w:jc w:val="both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 xml:space="preserve"> </w:t>
      </w:r>
    </w:p>
    <w:p w:rsidR="001E4913" w:rsidRPr="00B70E1B" w:rsidRDefault="00135E7C" w:rsidP="00B70E1B">
      <w:pPr>
        <w:pStyle w:val="a3"/>
        <w:numPr>
          <w:ilvl w:val="0"/>
          <w:numId w:val="4"/>
        </w:numPr>
        <w:spacing w:after="13" w:line="267" w:lineRule="auto"/>
        <w:ind w:left="0" w:firstLine="0"/>
        <w:jc w:val="both"/>
        <w:rPr>
          <w:rFonts w:ascii="Bahnschrift Light" w:hAnsi="Bahnschrift Light"/>
          <w:sz w:val="20"/>
          <w:szCs w:val="20"/>
        </w:rPr>
      </w:pPr>
      <w:r w:rsidRPr="00B70E1B">
        <w:rPr>
          <w:rFonts w:ascii="Bahnschrift Light" w:hAnsi="Bahnschrift Light"/>
          <w:sz w:val="20"/>
          <w:szCs w:val="20"/>
        </w:rPr>
        <w:t xml:space="preserve">Изменено </w:t>
      </w:r>
      <w:r w:rsidR="001E4913" w:rsidRPr="00B70E1B">
        <w:rPr>
          <w:rFonts w:ascii="Bahnschrift Light" w:hAnsi="Bahnschrift Light"/>
          <w:sz w:val="20"/>
          <w:szCs w:val="20"/>
        </w:rPr>
        <w:t xml:space="preserve">Приложение № 4: </w:t>
      </w:r>
      <w:r w:rsidRPr="00B70E1B">
        <w:rPr>
          <w:rFonts w:ascii="Bahnschrift Light" w:hAnsi="Bahnschrift Light"/>
          <w:sz w:val="20"/>
          <w:szCs w:val="20"/>
        </w:rPr>
        <w:t xml:space="preserve">форма </w:t>
      </w:r>
      <w:r w:rsidR="001E4913" w:rsidRPr="00B70E1B">
        <w:rPr>
          <w:rFonts w:ascii="Bahnschrift Light" w:hAnsi="Bahnschrift Light"/>
          <w:sz w:val="20"/>
          <w:szCs w:val="20"/>
        </w:rPr>
        <w:t>Уведомление об открытии счета</w:t>
      </w:r>
      <w:r w:rsidRPr="00B70E1B">
        <w:rPr>
          <w:rFonts w:ascii="Bahnschrift Light" w:hAnsi="Bahnschrift Light"/>
          <w:sz w:val="20"/>
          <w:szCs w:val="20"/>
        </w:rPr>
        <w:t xml:space="preserve"> заменена на перечень информации, которая должна быть включена в такое Уведомление.</w:t>
      </w:r>
    </w:p>
    <w:p w:rsidR="00135E7C" w:rsidRDefault="00135E7C" w:rsidP="00B70E1B">
      <w:pPr>
        <w:pStyle w:val="a3"/>
        <w:spacing w:after="13" w:line="267" w:lineRule="auto"/>
        <w:ind w:left="420"/>
        <w:jc w:val="both"/>
        <w:rPr>
          <w:rFonts w:ascii="Bahnschrift Light" w:hAnsi="Bahnschrift Light"/>
          <w:sz w:val="20"/>
          <w:szCs w:val="20"/>
        </w:rPr>
      </w:pPr>
      <w:bookmarkStart w:id="0" w:name="_GoBack"/>
      <w:bookmarkEnd w:id="0"/>
    </w:p>
    <w:p w:rsidR="001E4913" w:rsidRPr="00135E7C" w:rsidRDefault="00135E7C" w:rsidP="00135E7C">
      <w:pPr>
        <w:pStyle w:val="a3"/>
        <w:numPr>
          <w:ilvl w:val="0"/>
          <w:numId w:val="4"/>
        </w:numPr>
        <w:spacing w:after="13" w:line="267" w:lineRule="auto"/>
        <w:jc w:val="both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 xml:space="preserve">      Изменено </w:t>
      </w:r>
      <w:r w:rsidR="001E4913" w:rsidRPr="00135E7C">
        <w:rPr>
          <w:rFonts w:ascii="Bahnschrift Light" w:hAnsi="Bahnschrift Light"/>
          <w:sz w:val="20"/>
          <w:szCs w:val="20"/>
        </w:rPr>
        <w:t>Приложение № 5: Тарифы</w:t>
      </w:r>
      <w:r>
        <w:rPr>
          <w:rFonts w:ascii="Bahnschrift Light" w:hAnsi="Bahnschrift Light"/>
          <w:sz w:val="20"/>
          <w:szCs w:val="20"/>
        </w:rPr>
        <w:t>. Установлено 2 тарифных плана.</w:t>
      </w:r>
    </w:p>
    <w:p w:rsidR="001E4913" w:rsidRPr="001E4913" w:rsidRDefault="001E4913" w:rsidP="001E4913">
      <w:pPr>
        <w:spacing w:after="13" w:line="267" w:lineRule="auto"/>
        <w:jc w:val="both"/>
        <w:rPr>
          <w:rFonts w:ascii="Bahnschrift Light" w:hAnsi="Bahnschrift Light"/>
          <w:sz w:val="20"/>
          <w:szCs w:val="20"/>
        </w:rPr>
      </w:pPr>
    </w:p>
    <w:p w:rsidR="001E4913" w:rsidRPr="00256F7E" w:rsidRDefault="001E4913" w:rsidP="001E4913">
      <w:pPr>
        <w:pStyle w:val="a3"/>
        <w:tabs>
          <w:tab w:val="left" w:pos="567"/>
        </w:tabs>
        <w:spacing w:before="120" w:after="120" w:line="240" w:lineRule="auto"/>
        <w:ind w:left="0"/>
        <w:contextualSpacing w:val="0"/>
        <w:jc w:val="both"/>
        <w:rPr>
          <w:rFonts w:ascii="Bahnschrift Light" w:hAnsi="Bahnschrift Light" w:cs="Tahoma"/>
          <w:sz w:val="20"/>
          <w:szCs w:val="20"/>
        </w:rPr>
      </w:pPr>
    </w:p>
    <w:p w:rsidR="00FA795D" w:rsidRPr="00FA795D" w:rsidRDefault="00FA795D" w:rsidP="00FA795D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A795D" w:rsidRPr="00FA795D" w:rsidRDefault="00FA795D" w:rsidP="007404A9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37DDE" w:rsidRDefault="00937DDE"/>
    <w:sectPr w:rsidR="00937DDE" w:rsidSect="00FA79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54388"/>
    <w:multiLevelType w:val="hybridMultilevel"/>
    <w:tmpl w:val="23B06BCC"/>
    <w:lvl w:ilvl="0" w:tplc="0800366A">
      <w:start w:val="1"/>
      <w:numFmt w:val="decimal"/>
      <w:lvlText w:val="%1."/>
      <w:lvlJc w:val="left"/>
      <w:pPr>
        <w:ind w:left="720" w:hanging="360"/>
      </w:pPr>
      <w:rPr>
        <w:rFonts w:ascii="Bahnschrift Light" w:hAnsi="Bahnschrift Light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84833"/>
    <w:multiLevelType w:val="multilevel"/>
    <w:tmpl w:val="DAB266AA"/>
    <w:lvl w:ilvl="0">
      <w:start w:val="1"/>
      <w:numFmt w:val="decimal"/>
      <w:lvlText w:val="%1."/>
      <w:lvlJc w:val="left"/>
      <w:pPr>
        <w:ind w:left="737" w:hanging="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1" w:hanging="79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"/>
        </w:tabs>
        <w:ind w:left="1106" w:hanging="964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495"/>
        </w:tabs>
        <w:ind w:left="3856" w:hanging="1361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443" w:hanging="1587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1" w:hanging="1800"/>
      </w:pPr>
      <w:rPr>
        <w:rFonts w:hint="default"/>
      </w:rPr>
    </w:lvl>
  </w:abstractNum>
  <w:abstractNum w:abstractNumId="2" w15:restartNumberingAfterBreak="0">
    <w:nsid w:val="26FE14DA"/>
    <w:multiLevelType w:val="hybridMultilevel"/>
    <w:tmpl w:val="D0861CE6"/>
    <w:lvl w:ilvl="0" w:tplc="3F809894">
      <w:start w:val="1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1083A10"/>
    <w:multiLevelType w:val="multilevel"/>
    <w:tmpl w:val="F3F476B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Bahnschrift Light" w:hAnsi="Bahnschrift Light"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0517EBC"/>
    <w:multiLevelType w:val="multilevel"/>
    <w:tmpl w:val="7592E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4C"/>
    <w:rsid w:val="00135E7C"/>
    <w:rsid w:val="001E4913"/>
    <w:rsid w:val="0025654A"/>
    <w:rsid w:val="003908C9"/>
    <w:rsid w:val="00512F4C"/>
    <w:rsid w:val="005F646E"/>
    <w:rsid w:val="006108B4"/>
    <w:rsid w:val="00626478"/>
    <w:rsid w:val="006C057B"/>
    <w:rsid w:val="007404A9"/>
    <w:rsid w:val="00937DDE"/>
    <w:rsid w:val="009E66FA"/>
    <w:rsid w:val="00A667C5"/>
    <w:rsid w:val="00A6790A"/>
    <w:rsid w:val="00B70E1B"/>
    <w:rsid w:val="00B81E8D"/>
    <w:rsid w:val="00BE64A7"/>
    <w:rsid w:val="00D52F50"/>
    <w:rsid w:val="00D55174"/>
    <w:rsid w:val="00FA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FDD1"/>
  <w15:chartTrackingRefBased/>
  <w15:docId w15:val="{CC1CDC30-3D17-4883-8C5F-AACD3B71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8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Lazarevich</dc:creator>
  <cp:keywords/>
  <dc:description/>
  <cp:lastModifiedBy>Tatiana Lazarevich</cp:lastModifiedBy>
  <cp:revision>4</cp:revision>
  <dcterms:created xsi:type="dcterms:W3CDTF">2024-11-26T09:27:00Z</dcterms:created>
  <dcterms:modified xsi:type="dcterms:W3CDTF">2024-11-26T10:35:00Z</dcterms:modified>
</cp:coreProperties>
</file>